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 - 2021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ESTUDANTE-MONITOR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Eu, _______________________________________________________________, aluno(a) do curso ______________________________________________________________, matrícula _________________________, declaro conhecer e concordar com as normas definidas pelo IFPE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Belo Jardim para implantação do programa de monitoria, assumindo me dedicar ao cumprimento de _____ (                        ) horas semanais de atividades, de acordo com o Plano de Monitoria estabelecido pelo meu professor-orientador, as quais não poderão ser coincidentes com o horário das aulas em meu curso regular durante o período de vigência da monitoria. O não cumprimento deste compromisso acarretará no cancelamento da monitoria e possível devolução dos valores já pagos de bolsa de monitoria.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Confirmo reconhecer que deverei comunicar, imediatamente, ao professor orientador qualquer alteração de natureza incompatível com as normas de concessão da bolsa, e que, caso seja comprovada, a qualquer momento, a inveracidade das informações e/ou o descumprimento deste compromisso acarretará no cancelamento da bolsa e na possibilidade de devolução dos recursos recebidos dos cofres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Jardim, ______/________/________.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Orientador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1C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1D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18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6TTcg9bMs2yVWVaJfCQUsdFNw==">AMUW2mU6fl4taANkT/YiwnUVGUzDbspQZ/Bn0RSySMT/lcoZ+obXqjGO6Vyub+nEsKXZi4xgdxnEp5/Kdfxa9czgBZyXsfZUyxwYcW8I3Y2Cbh6AGS4zVr0=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