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EDITAL REI/IFPE No 14, DE 05 DE JUNHO DE 2023</w:t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SELEÇÃO INTERNA DE DOCENTES DO IFPE PARA ATUAR COMO PROFESSORES E PROFESSORAS NO EVENTO SEMANA INTERNACIONAL DO SENATI - PERU.</w:t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 REITOR DO INSTITUTO FEDERAL DE EDUCAÇÃO, CIÊNCIA E TECNOLOGIA DE PERNAMBUCO, </w:t>
      </w:r>
      <w:r w:rsidDel="00000000" w:rsidR="00000000" w:rsidRPr="00000000">
        <w:rPr>
          <w:sz w:val="24"/>
          <w:szCs w:val="24"/>
          <w:rtl w:val="0"/>
        </w:rPr>
        <w:t xml:space="preserve">nomeado pelo Decreto de 13 de abril de 2020, publicado no DOU de 13 de abril de 2020, seção 2, página 1, Edição Extra, em conformidade com a Lei no 11.892, de 29 de dezembro de 2008, no uso de suas atribuições legais e estatutárias,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</w:t>
      </w:r>
      <w:r w:rsidDel="00000000" w:rsidR="00000000" w:rsidRPr="00000000">
        <w:rPr>
          <w:b w:val="1"/>
          <w:sz w:val="24"/>
          <w:szCs w:val="24"/>
          <w:rtl w:val="0"/>
        </w:rPr>
        <w:t xml:space="preserve"> A CHEFE DO DEPARTAMENTO DE RELAÇÕES INTERNACIONAIS</w:t>
      </w:r>
      <w:r w:rsidDel="00000000" w:rsidR="00000000" w:rsidRPr="00000000">
        <w:rPr>
          <w:sz w:val="24"/>
          <w:szCs w:val="24"/>
          <w:rtl w:val="0"/>
        </w:rPr>
        <w:t xml:space="preserve">, nomeada pela Portaria no 443 de 24 de maio de 2021, publicada no DOU de 28 de maio de 2021, seção 2, página 18, tornam pública a realização da seleção interna de docentes do IFPE para atuar como professores e professoras no evento Semana Internacional do SENATI - PERU.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1. DA FINALIDADE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 Esta chamada pública tem por finalidade selecionar </w:t>
      </w:r>
      <w:r w:rsidDel="00000000" w:rsidR="00000000" w:rsidRPr="00000000">
        <w:rPr>
          <w:sz w:val="24"/>
          <w:szCs w:val="24"/>
          <w:rtl w:val="0"/>
        </w:rPr>
        <w:t xml:space="preserve">professores e professoras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atuar </w:t>
      </w:r>
      <w:r w:rsidDel="00000000" w:rsidR="00000000" w:rsidRPr="00000000">
        <w:rPr>
          <w:sz w:val="24"/>
          <w:szCs w:val="24"/>
          <w:rtl w:val="0"/>
        </w:rPr>
        <w:t xml:space="preserve">como docentes em cursos no evento Semana Internacional, realizado pelo SENATI - PERU. Esta convocatória é fruto da parceria entre o IFPE e a instituição promotora do evento e está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conformidade com a Resolução nº 08 de 17 de janeiro de 2020, do Conselho Superior do IFPE, que aprova a Normatização do Trabalho Docente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D</w:t>
      </w:r>
      <w:r w:rsidDel="00000000" w:rsidR="00000000" w:rsidRPr="00000000">
        <w:rPr>
          <w:b w:val="1"/>
          <w:sz w:val="24"/>
          <w:szCs w:val="24"/>
          <w:rtl w:val="0"/>
        </w:rPr>
        <w:t xml:space="preserve">A INICIATIVA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 </w:t>
      </w:r>
      <w:r w:rsidDel="00000000" w:rsidR="00000000" w:rsidRPr="00000000">
        <w:rPr>
          <w:sz w:val="24"/>
          <w:szCs w:val="24"/>
          <w:rtl w:val="0"/>
        </w:rPr>
        <w:t xml:space="preserve">Esta iniciativa atende ao Objetivo Estratégico do PDI/IFPE (OE-PI 04): Intensificar as ações de internacionalização do IFPE, de forma a reforçar seu caráter de transversalidade perante as ações de ensino, pesquisa, pós-graduação, inovação e extensão.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2.2 A convocatória é fruto do Acordo de Cooperação Técnica firmado entre o Instituto Federal de Pernambuco e o SENATI - Peru.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2.3.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cursos a </w:t>
      </w:r>
      <w:r w:rsidDel="00000000" w:rsidR="00000000" w:rsidRPr="00000000">
        <w:rPr>
          <w:sz w:val="24"/>
          <w:szCs w:val="24"/>
          <w:rtl w:val="0"/>
        </w:rPr>
        <w:t xml:space="preserve">serem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ministrados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serão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ofertados </w:t>
      </w:r>
      <w:r w:rsidDel="00000000" w:rsidR="00000000" w:rsidRPr="00000000">
        <w:rPr>
          <w:sz w:val="24"/>
          <w:szCs w:val="24"/>
          <w:rtl w:val="0"/>
        </w:rPr>
        <w:t xml:space="preserve">em uma das sedes do SENATI - Peru no entre 18 e 30 de julho na modalidade presencial.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carga horária dos cursos </w:t>
      </w:r>
      <w:r w:rsidDel="00000000" w:rsidR="00000000" w:rsidRPr="00000000">
        <w:rPr>
          <w:sz w:val="24"/>
          <w:szCs w:val="24"/>
          <w:rtl w:val="0"/>
        </w:rPr>
        <w:t xml:space="preserve">é de 16 horas.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3. DO PÚBLICO-ALVO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3.1 Poderão participar desta chamada pública os/as professores/as </w:t>
      </w:r>
      <w:r w:rsidDel="00000000" w:rsidR="00000000" w:rsidRPr="00000000">
        <w:rPr>
          <w:sz w:val="24"/>
          <w:szCs w:val="24"/>
          <w:rtl w:val="0"/>
        </w:rPr>
        <w:t xml:space="preserve">pertencentes à Carreira de Magistério do Ensino Básico, Técnico e Tecnológico, regidos pela Lei nº 12.772, de 28 de dezembro de 2012, lotados e em exercício no IFPE.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3.2 Poderão submeter candidaturas docentes que têm formação e experiência nas áreas discriminadas no Anexo I.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4. DAS ATIVIDADES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 O professor/ a professora é o/a responsável pela condução do ensino durante o curso, é de sua competência o trabalho pedagógico, o acompanhamento e o estímulo ao aprendizado dos estudantes;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4.2 As atividades desenvolvidas pelo/pela docente serão realizadas de forma presencial, em um dos campi do SENATI - Peru;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4.3 A presente chamada pública não envolve repasse de recursos ou concessão de bolsas aos/às professores e professoras por parte do IFPE;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4.4 Caberá ao SENATI - Peru o investimento com passagens aéreas, seguro viagem, hospedagem, alimentação e traslados.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 DAS VAGAS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5.1 Por se tratar de chamada pública para atendimento de demanda específica da instituição parceira, o quantitativo de vagas será determinado posteriormente pelo SENATI - Peru. Cabe ao IFPE participar apenas da primeira etapa da seleção que compreende a inscrição de docentes interessados e o envio de documentos para posterior avaliação do parceiro internacional.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6 DAS INSCRIÇÕES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6.1 As inscrições para esta Chamada Pública serão efetuadas exclusivamente através do preenchimento do formulário eletrônico disponível no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Link de acesso ao formulário</w:t>
        </w:r>
      </w:hyperlink>
      <w:r w:rsidDel="00000000" w:rsidR="00000000" w:rsidRPr="00000000">
        <w:rPr>
          <w:sz w:val="24"/>
          <w:szCs w:val="24"/>
          <w:rtl w:val="0"/>
        </w:rPr>
        <w:t xml:space="preserve">, até as 17:00 do</w:t>
      </w:r>
      <w:r w:rsidDel="00000000" w:rsidR="00000000" w:rsidRPr="00000000">
        <w:rPr>
          <w:sz w:val="24"/>
          <w:szCs w:val="24"/>
          <w:rtl w:val="0"/>
        </w:rPr>
        <w:t xml:space="preserve"> dia 15 de junho de 2023.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6.2 No ato da inscrição, o/a candidato/a deverá anexar ao formulário eletrônico: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</w:t>
      </w:r>
      <w:r w:rsidDel="00000000" w:rsidR="00000000" w:rsidRPr="00000000">
        <w:rPr>
          <w:sz w:val="24"/>
          <w:szCs w:val="24"/>
          <w:rtl w:val="0"/>
        </w:rPr>
        <w:t xml:space="preserve">Ficha de proposta do Seminário, em espanhol, conforme modelo disponível (Anexo II)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Currículo vitae, em espanhol, com o máximo de 02 (duas) páginas;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Vídeo de apresentação do Seminário, em espanhol, com duração de até 1 minuto, formato MP4 e com tamanho máximo de 10MB e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Termo de anuência da chefia imediata, conforme modelo disponível (Anexo III).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6.3 O DRIN não se responsabilizará por inscrições não recebidas por motivos de ordem técnica que impossibilitem a transferência de dados, como panes em computadores ou falhas na conexão de internet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DO PROCESSO DE SELEÇÃO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 A seleção será realizada com base na análise: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do documento de que trata a alínea </w:t>
      </w:r>
      <w:r w:rsidDel="00000000" w:rsidR="00000000" w:rsidRPr="00000000">
        <w:rPr>
          <w:sz w:val="24"/>
          <w:szCs w:val="24"/>
          <w:rtl w:val="0"/>
        </w:rPr>
        <w:t xml:space="preserve">“d”  do subitem 6.2 (de caráter eliminatório) e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 documentos de que tratam as alíneas </w:t>
      </w:r>
      <w:r w:rsidDel="00000000" w:rsidR="00000000" w:rsidRPr="00000000">
        <w:rPr>
          <w:sz w:val="24"/>
          <w:szCs w:val="24"/>
          <w:rtl w:val="0"/>
        </w:rPr>
        <w:t xml:space="preserve">“a”, “b”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“c” do subitem 6.2 enviados ao SENATI - Peru para apreciação e decisão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. DAS DISPOSIÇÕES GERAIS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.1 Esta chamada pública será coordenada pelo DRIN</w:t>
      </w:r>
      <w:r w:rsidDel="00000000" w:rsidR="00000000" w:rsidRPr="00000000">
        <w:rPr>
          <w:sz w:val="24"/>
          <w:szCs w:val="24"/>
          <w:rtl w:val="0"/>
        </w:rPr>
        <w:t xml:space="preserve"> e os casos omissos tratados no âmbito deste departamento.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(assinado eletronicamente)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JOSÉ CARLOS DE SÁ JUNIOR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(assinado eletronicamente)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MARIA CAROLINA BELLO CAVALCANTI DA SILVA</w:t>
      </w:r>
    </w:p>
    <w:p w:rsidR="00000000" w:rsidDel="00000000" w:rsidP="00000000" w:rsidRDefault="00000000" w:rsidRPr="00000000" w14:paraId="0000003E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ANEXO I – ÁREAS CONTEMPLADAS NA CHAMADA</w:t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59" w:lineRule="auto"/>
        <w:rPr>
          <w:b w:val="1"/>
          <w:sz w:val="22"/>
          <w:szCs w:val="22"/>
        </w:rPr>
        <w:sectPr>
          <w:headerReference r:id="rId8" w:type="default"/>
          <w:headerReference r:id="rId9" w:type="even"/>
          <w:pgSz w:h="16838" w:w="11906" w:orient="portrait"/>
          <w:pgMar w:bottom="1134" w:top="1134" w:left="1134" w:right="1558" w:header="1134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Administración de Empresas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Administración Industrial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Seguridad Industrial y Prevención de Riesgos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Administración Logística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Administración de Empresas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154394</wp:posOffset>
            </wp:positionV>
            <wp:extent cx="923523" cy="923523"/>
            <wp:effectExtent b="0" l="0" r="0" t="0"/>
            <wp:wrapNone/>
            <wp:docPr id="15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523" cy="9235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Marketing y Gestión Comercial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Negocios Internacionales</w:t>
      </w:r>
    </w:p>
    <w:p w:rsidR="00000000" w:rsidDel="00000000" w:rsidP="00000000" w:rsidRDefault="00000000" w:rsidRPr="00000000" w14:paraId="00000063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Electrotecnia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Electrotecnia Industrial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Mecatrónica Industrial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Electrónica Industrial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Controlador de Maquinaria y Procesos Industriales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Refrigeración y aire acondicionado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Electricista industrial</w:t>
      </w:r>
    </w:p>
    <w:p w:rsidR="00000000" w:rsidDel="00000000" w:rsidP="00000000" w:rsidRDefault="00000000" w:rsidRPr="00000000" w14:paraId="0000006A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Escuela Superior de Tecnología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Técnicas en Ingeniería Electrónica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Procesos de Producción Industrial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Ingeniería en Tecnologías de la Información y las Comunicaciones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Ciencia de datos e ingeniería en IA</w:t>
      </w:r>
    </w:p>
    <w:p w:rsidR="00000000" w:rsidDel="00000000" w:rsidP="00000000" w:rsidRDefault="00000000" w:rsidRPr="00000000" w14:paraId="0000006F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Industria Metalmecánica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Producción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y Desarrollo de Máquinas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Construcciones Metálicas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Soldadura Universal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de Desarrollo de Maquinaria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Mecatrónica de la fabricación metalmecánica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Procesos Tecnológicos de Soldadura</w:t>
      </w:r>
    </w:p>
    <w:p w:rsidR="00000000" w:rsidDel="00000000" w:rsidP="00000000" w:rsidRDefault="00000000" w:rsidRPr="00000000" w14:paraId="00000077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Mecánica Automotriz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Mecatrónica Automotriz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Maquinaria Pesada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Mantenimiento de Maquinaria Pesada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Mantenimiento de Maquinaria Pesada para la Construcción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Automotriz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Automotriz Diésel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Mecánica de Autobuses y camiones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Mecatrónica de Autobuses y Camiones</w:t>
      </w:r>
    </w:p>
    <w:p w:rsidR="00000000" w:rsidDel="00000000" w:rsidP="00000000" w:rsidRDefault="00000000" w:rsidRPr="00000000" w14:paraId="00000080">
      <w:pPr>
        <w:spacing w:line="259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Tecnologías de la Información y la Comunicación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Soporte y Mantenimiento de Equipos de Cómputo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Redes y comunicación de datos</w:t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Desarrollo de software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y Desarrollo Web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Seguridad de información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de Estructuras Metálicas y Construcción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Administración de base de datos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Internet de las cosas y Big Data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Redes y Seguridad Informática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Gráfico Digital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Ingeniería de Software con Inteligencia Artificial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Ciberseguridad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Diseño y desarrollo de videojuegos y realidad aumentada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0" w:line="259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Ingeniería de Cloud Computing y Data Center.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sz w:val="22"/>
          <w:szCs w:val="22"/>
        </w:rPr>
        <w:sectPr>
          <w:type w:val="continuous"/>
          <w:pgSz w:h="16838" w:w="11906" w:orient="portrait"/>
          <w:pgMar w:bottom="1134" w:top="1134" w:left="1134" w:right="1558" w:header="1134" w:footer="709"/>
          <w:cols w:equalWidth="0" w:num="2">
            <w:col w:space="720" w:w="4246.74"/>
            <w:col w:space="0" w:w="4246.74"/>
          </w:cols>
        </w:sectPr>
      </w:pPr>
      <w:r w:rsidDel="00000000" w:rsidR="00000000" w:rsidRPr="00000000">
        <w:rPr>
          <w:sz w:val="22"/>
          <w:szCs w:val="22"/>
          <w:rtl w:val="0"/>
        </w:rPr>
        <w:t xml:space="preserve">Informática y Desarrollo de aplicaciones Web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ANEXO II – FICHA DE PROPOSTA DO SEMINÁRIO</w:t>
      </w:r>
    </w:p>
    <w:p w:rsidR="00000000" w:rsidDel="00000000" w:rsidP="00000000" w:rsidRDefault="00000000" w:rsidRPr="00000000" w14:paraId="00000092">
      <w:pPr>
        <w:spacing w:line="259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59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PROPUESTA DE SEMINARIO </w:t>
      </w:r>
    </w:p>
    <w:p w:rsidR="00000000" w:rsidDel="00000000" w:rsidP="00000000" w:rsidRDefault="00000000" w:rsidRPr="00000000" w14:paraId="00000094">
      <w:pPr>
        <w:spacing w:line="259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7"/>
        <w:gridCol w:w="4607"/>
        <w:tblGridChange w:id="0">
          <w:tblGrid>
            <w:gridCol w:w="4607"/>
            <w:gridCol w:w="4607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Ficha de propuesta de Seminario Semana Internacional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Nombre del docente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Nombre del Seminario Propuesto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Contenido del seminario Propuesto (16 horas)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Objetivos de Aprendizaje del Seminario: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Forma de evaluación: (ex. Oral, escrito, práctica en laboratorio, ensayo, presentación grupal, etc)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Distribución del tiempo de clase durante la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Herramientas/Laboratorio a requerir: (Especificaciones Técnicas Maquinaria, Softwares)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Requisitos del Participante: carreras, conocimientos, implementos,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line="259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ANEXO III – MODELO DE </w:t>
      </w:r>
      <w:r w:rsidDel="00000000" w:rsidR="00000000" w:rsidRPr="00000000">
        <w:rPr>
          <w:sz w:val="24"/>
          <w:szCs w:val="24"/>
          <w:rtl w:val="0"/>
        </w:rPr>
        <w:t xml:space="preserve">TERMO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DE ANUÊNCIA DA CHEFIA IMEDIATA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O/A diretor/a-geral do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Campus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___________, ________________________________, e o/a chefe imediato/a, _____________________________, estão cientes da participação do/a </w:t>
      </w:r>
      <w:r w:rsidDel="00000000" w:rsidR="00000000" w:rsidRPr="00000000">
        <w:rPr>
          <w:sz w:val="24"/>
          <w:szCs w:val="24"/>
          <w:rtl w:val="0"/>
        </w:rPr>
        <w:t xml:space="preserve">professo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r/a ___________________________ na chamada pública nº XX/202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/DRIN/IFPE e são favoráveis a sua participação nas atividades previstas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_____________, ____ de __________________ de 202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________________________________</w:t>
        <w:tab/>
        <w:tab/>
        <w:t xml:space="preserve">__________________________________</w:t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                  Diretor/a-Geral                                                                     Chefia imediata</w:t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CC">
      <w:pPr>
        <w:tabs>
          <w:tab w:val="center" w:leader="none" w:pos="5102"/>
        </w:tabs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Assinatura do/a candidato/a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type w:val="nextPage"/>
      <w:pgSz w:h="16838" w:w="11906" w:orient="portrait"/>
      <w:pgMar w:bottom="1134" w:top="1134" w:left="1134" w:right="1558" w:header="113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spacing w:after="0" w:line="240" w:lineRule="auto"/>
      <w:ind w:hanging="2"/>
      <w:jc w:val="center"/>
      <w:rPr/>
    </w:pPr>
    <w:r w:rsidDel="00000000" w:rsidR="00000000" w:rsidRPr="00000000">
      <w:rPr/>
      <w:drawing>
        <wp:inline distB="0" distT="0" distL="0" distR="0">
          <wp:extent cx="818515" cy="742315"/>
          <wp:effectExtent b="0" l="0" r="0" t="0"/>
          <wp:docPr id="15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Ministério da Educação</w:t>
    </w:r>
  </w:p>
  <w:p w:rsidR="00000000" w:rsidDel="00000000" w:rsidP="00000000" w:rsidRDefault="00000000" w:rsidRPr="00000000" w14:paraId="000000D0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D1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Instituto Federal de Educação, Ciência e Tecnologia de Pernambuco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spacing w:after="0" w:line="240" w:lineRule="auto"/>
      <w:jc w:val="center"/>
      <w:rPr>
        <w:b w:val="1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spacing w:after="0" w:line="240" w:lineRule="auto"/>
      <w:ind w:hanging="2"/>
      <w:jc w:val="center"/>
      <w:rPr/>
    </w:pPr>
    <w:r w:rsidDel="00000000" w:rsidR="00000000" w:rsidRPr="00000000">
      <w:rPr/>
      <w:drawing>
        <wp:inline distB="0" distT="0" distL="0" distR="0">
          <wp:extent cx="818515" cy="742315"/>
          <wp:effectExtent b="0" l="0" r="0" t="0"/>
          <wp:docPr id="15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Ministério da Educação</w:t>
    </w:r>
  </w:p>
  <w:p w:rsidR="00000000" w:rsidDel="00000000" w:rsidP="00000000" w:rsidRDefault="00000000" w:rsidRPr="00000000" w14:paraId="000000D5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D6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Instituto Federal de Educação, Ciência e Tecnologia de Pernambuco</w:t>
    </w:r>
  </w:p>
  <w:p w:rsidR="00000000" w:rsidDel="00000000" w:rsidP="00000000" w:rsidRDefault="00000000" w:rsidRPr="00000000" w14:paraId="000000D7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Reitoria</w:t>
    </w:r>
  </w:p>
  <w:p w:rsidR="00000000" w:rsidDel="00000000" w:rsidP="00000000" w:rsidRDefault="00000000" w:rsidRPr="00000000" w14:paraId="000000D8">
    <w:pPr>
      <w:spacing w:after="0" w:line="240" w:lineRule="auto"/>
      <w:jc w:val="center"/>
      <w:rPr>
        <w:b w:val="1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spacing w:after="0" w:line="240" w:lineRule="auto"/>
      <w:ind w:hanging="2"/>
      <w:jc w:val="center"/>
      <w:rPr/>
    </w:pPr>
    <w:r w:rsidDel="00000000" w:rsidR="00000000" w:rsidRPr="00000000">
      <w:rPr/>
      <w:drawing>
        <wp:inline distB="0" distT="0" distL="0" distR="0">
          <wp:extent cx="818515" cy="742315"/>
          <wp:effectExtent b="0" l="0" r="0" t="0"/>
          <wp:docPr id="15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Ministério da Educação</w:t>
    </w:r>
  </w:p>
  <w:p w:rsidR="00000000" w:rsidDel="00000000" w:rsidP="00000000" w:rsidRDefault="00000000" w:rsidRPr="00000000" w14:paraId="000000DB">
    <w:pPr>
      <w:spacing w:after="0" w:line="240" w:lineRule="auto"/>
      <w:ind w:hanging="2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DC">
    <w:pPr>
      <w:spacing w:after="0" w:line="240" w:lineRule="auto"/>
      <w:ind w:hanging="2"/>
      <w:jc w:val="center"/>
      <w:rPr/>
    </w:pPr>
    <w:r w:rsidDel="00000000" w:rsidR="00000000" w:rsidRPr="00000000">
      <w:rPr>
        <w:sz w:val="24"/>
        <w:szCs w:val="24"/>
        <w:rtl w:val="0"/>
      </w:rPr>
      <w:t xml:space="preserve">Instituto Federal de Educação, Ciência e Tecnologia de Pernambuco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pt-BR"/>
      </w:rPr>
    </w:rPrDefault>
    <w:pPrDefault>
      <w:pPr>
        <w:spacing w:after="16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left w:color="ed7d31" w:space="12" w:sz="12" w:val="single"/>
      </w:pBdr>
      <w:spacing w:after="80" w:before="80" w:line="240" w:lineRule="auto"/>
    </w:pPr>
    <w:rPr>
      <w:rFonts w:ascii="Calibri" w:cs="Calibri" w:eastAsia="Calibri" w:hAnsi="Calibri"/>
      <w:smallCap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sz w:val="76"/>
      <w:szCs w:val="76"/>
    </w:rPr>
  </w:style>
  <w:style w:type="paragraph" w:styleId="Normal" w:default="1">
    <w:name w:val="Normal"/>
    <w:qFormat w:val="1"/>
    <w:rsid w:val="00135ADC"/>
  </w:style>
  <w:style w:type="paragraph" w:styleId="Ttulo1">
    <w:name w:val="heading 1"/>
    <w:basedOn w:val="Normal"/>
    <w:next w:val="Normal"/>
    <w:link w:val="Ttulo1Char"/>
    <w:uiPriority w:val="9"/>
    <w:qFormat w:val="1"/>
    <w:rsid w:val="00135ADC"/>
    <w:pPr>
      <w:keepNext w:val="1"/>
      <w:keepLines w:val="1"/>
      <w:pBdr>
        <w:left w:color="ed7d31" w:space="12" w:sz="12" w:themeColor="accent2" w:val="single"/>
      </w:pBdr>
      <w:spacing w:after="80" w:before="80" w:line="240" w:lineRule="auto"/>
      <w:outlineLvl w:val="0"/>
    </w:pPr>
    <w:rPr>
      <w:rFonts w:asciiTheme="majorHAnsi" w:cstheme="majorBidi" w:eastAsiaTheme="majorEastAsia" w:hAnsiTheme="majorHAnsi"/>
      <w:caps w:val="1"/>
      <w:spacing w:val="1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135ADC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2"/>
    </w:pPr>
    <w:rPr>
      <w:rFonts w:asciiTheme="majorHAnsi" w:cstheme="majorBidi" w:eastAsiaTheme="majorEastAsia" w:hAnsiTheme="majorHAnsi"/>
      <w:caps w:val="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3"/>
    </w:pPr>
    <w:rPr>
      <w:rFonts w:asciiTheme="majorHAnsi" w:cstheme="majorBidi" w:eastAsiaTheme="majorEastAsia" w:hAnsiTheme="majorHAnsi"/>
      <w:i w:val="1"/>
      <w:iCs w:val="1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4"/>
    </w:pPr>
    <w:rPr>
      <w:rFonts w:asciiTheme="majorHAnsi" w:cstheme="majorBidi" w:eastAsiaTheme="majorEastAsia" w:hAnsiTheme="majorHAns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5"/>
    </w:pPr>
    <w:rPr>
      <w:rFonts w:asciiTheme="majorHAnsi" w:cstheme="majorBidi" w:eastAsiaTheme="majorEastAsia" w:hAnsiTheme="majorHAnsi"/>
      <w:i w:val="1"/>
      <w:iCs w:val="1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6"/>
    </w:pPr>
    <w:rPr>
      <w:rFonts w:asciiTheme="majorHAnsi" w:cstheme="majorBidi" w:eastAsiaTheme="majorEastAsia" w:hAnsiTheme="majorHAnsi"/>
      <w:color w:val="595959" w:themeColor="text1" w:themeTint="0000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7"/>
    </w:pPr>
    <w:rPr>
      <w:rFonts w:asciiTheme="majorHAnsi" w:cstheme="majorBidi" w:eastAsiaTheme="majorEastAsia" w:hAnsiTheme="majorHAnsi"/>
      <w:caps w:val="1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135ADC"/>
    <w:pPr>
      <w:keepNext w:val="1"/>
      <w:keepLines w:val="1"/>
      <w:spacing w:after="0" w:before="80" w:line="240" w:lineRule="auto"/>
      <w:outlineLvl w:val="8"/>
    </w:pPr>
    <w:rPr>
      <w:rFonts w:asciiTheme="majorHAnsi" w:cstheme="majorBidi" w:eastAsiaTheme="majorEastAsia" w:hAnsiTheme="majorHAnsi"/>
      <w:i w:val="1"/>
      <w:iCs w:val="1"/>
      <w:caps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 w:val="1"/>
    <w:rsid w:val="00135ADC"/>
    <w:pPr>
      <w:spacing w:after="0" w:line="240" w:lineRule="auto"/>
      <w:contextualSpacing w:val="1"/>
    </w:pPr>
    <w:rPr>
      <w:rFonts w:asciiTheme="majorHAnsi" w:cstheme="majorBidi" w:eastAsiaTheme="majorEastAsia" w:hAnsiTheme="majorHAnsi"/>
      <w:caps w:val="1"/>
      <w:spacing w:val="40"/>
      <w:sz w:val="76"/>
      <w:szCs w:val="7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rsid w:val="003373AB"/>
  </w:style>
  <w:style w:type="table" w:styleId="TableNormal1" w:customStyle="1">
    <w:name w:val="Table Normal"/>
    <w:rsid w:val="003373A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2"/>
    <w:rsid w:val="003373AB"/>
  </w:style>
  <w:style w:type="table" w:styleId="TableNormal2" w:customStyle="1">
    <w:name w:val="Table Normal"/>
    <w:rsid w:val="003373A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centralizadomaiusculas" w:customStyle="1">
    <w:name w:val="texto_centralizado_maiusculas"/>
    <w:basedOn w:val="Normal"/>
    <w:rsid w:val="006E06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rsid w:val="006E06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135ADC"/>
    <w:rPr>
      <w:rFonts w:asciiTheme="minorHAnsi" w:cstheme="minorBidi" w:eastAsiaTheme="minorEastAsia" w:hAnsiTheme="minorHAnsi"/>
      <w:b w:val="1"/>
      <w:bCs w:val="1"/>
      <w:spacing w:val="0"/>
      <w:w w:val="100"/>
      <w:position w:val="0"/>
      <w:sz w:val="20"/>
      <w:szCs w:val="20"/>
    </w:rPr>
  </w:style>
  <w:style w:type="character" w:styleId="Hyperlink">
    <w:name w:val="Hyperlink"/>
    <w:basedOn w:val="Fontepargpadro"/>
    <w:uiPriority w:val="99"/>
    <w:unhideWhenUsed w:val="1"/>
    <w:rsid w:val="006E06AF"/>
    <w:rPr>
      <w:color w:val="0000ff"/>
      <w:u w:val="single"/>
    </w:rPr>
  </w:style>
  <w:style w:type="paragraph" w:styleId="textoalinhadoesquerda" w:customStyle="1">
    <w:name w:val="texto_alinhado_esquerda"/>
    <w:basedOn w:val="Normal"/>
    <w:rsid w:val="006E06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abelatextoalinhadoesquerda" w:customStyle="1">
    <w:name w:val="tabela_texto_alinhado_esquerda"/>
    <w:basedOn w:val="Normal"/>
    <w:rsid w:val="006E06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tulo2Char" w:customStyle="1">
    <w:name w:val="Título 2 Char"/>
    <w:basedOn w:val="Fontepargpadro"/>
    <w:link w:val="Ttulo2"/>
    <w:uiPriority w:val="9"/>
    <w:rsid w:val="00135ADC"/>
    <w:rPr>
      <w:rFonts w:asciiTheme="majorHAnsi" w:cstheme="majorBidi" w:eastAsiaTheme="majorEastAsia" w:hAnsiTheme="majorHAnsi"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 w:val="1"/>
    <w:rsid w:val="006E06A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E06AF"/>
  </w:style>
  <w:style w:type="paragraph" w:styleId="Rodap">
    <w:name w:val="footer"/>
    <w:basedOn w:val="Normal"/>
    <w:link w:val="RodapChar"/>
    <w:uiPriority w:val="99"/>
    <w:unhideWhenUsed w:val="1"/>
    <w:rsid w:val="006E06A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E06AF"/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522A7B"/>
    <w:rPr>
      <w:color w:val="605e5c"/>
      <w:shd w:color="auto" w:fill="e1dfdd" w:val="clear"/>
    </w:rPr>
  </w:style>
  <w:style w:type="character" w:styleId="Ttulo1Char" w:customStyle="1">
    <w:name w:val="Título 1 Char"/>
    <w:basedOn w:val="Fontepargpadro"/>
    <w:link w:val="Ttulo1"/>
    <w:uiPriority w:val="9"/>
    <w:rsid w:val="00135ADC"/>
    <w:rPr>
      <w:rFonts w:asciiTheme="majorHAnsi" w:cstheme="majorBidi" w:eastAsiaTheme="majorEastAsia" w:hAnsiTheme="majorHAnsi"/>
      <w:caps w:val="1"/>
      <w:spacing w:val="10"/>
      <w:sz w:val="36"/>
      <w:szCs w:val="36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135ADC"/>
    <w:rPr>
      <w:rFonts w:asciiTheme="majorHAnsi" w:cstheme="majorBidi" w:eastAsiaTheme="majorEastAsia" w:hAnsiTheme="majorHAnsi"/>
      <w:caps w:val="1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135ADC"/>
    <w:rPr>
      <w:rFonts w:asciiTheme="majorHAnsi" w:cstheme="majorBidi" w:eastAsiaTheme="majorEastAsia" w:hAnsiTheme="majorHAnsi"/>
      <w:i w:val="1"/>
      <w:i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135ADC"/>
    <w:rPr>
      <w:rFonts w:asciiTheme="majorHAnsi" w:cstheme="majorBidi" w:eastAsiaTheme="majorEastAsia" w:hAnsiTheme="majorHAnsi"/>
      <w:sz w:val="24"/>
      <w:szCs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135ADC"/>
    <w:rPr>
      <w:rFonts w:asciiTheme="majorHAnsi" w:cstheme="majorBidi" w:eastAsiaTheme="majorEastAsia" w:hAnsiTheme="majorHAnsi"/>
      <w:i w:val="1"/>
      <w:iCs w:val="1"/>
      <w:sz w:val="24"/>
      <w:szCs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135ADC"/>
    <w:rPr>
      <w:rFonts w:asciiTheme="majorHAnsi" w:cstheme="majorBidi" w:eastAsiaTheme="majorEastAsia" w:hAnsiTheme="majorHAnsi"/>
      <w:color w:val="595959" w:themeColor="text1" w:themeTint="0000A6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135ADC"/>
    <w:rPr>
      <w:rFonts w:asciiTheme="majorHAnsi" w:cstheme="majorBidi" w:eastAsiaTheme="majorEastAsia" w:hAnsiTheme="majorHAnsi"/>
      <w:caps w:val="1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135ADC"/>
    <w:rPr>
      <w:rFonts w:asciiTheme="majorHAnsi" w:cstheme="majorBidi" w:eastAsiaTheme="majorEastAsia" w:hAnsiTheme="majorHAnsi"/>
      <w:i w:val="1"/>
      <w:iCs w:val="1"/>
      <w:caps w:val="1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135ADC"/>
    <w:pPr>
      <w:spacing w:line="240" w:lineRule="auto"/>
    </w:pPr>
    <w:rPr>
      <w:b w:val="1"/>
      <w:bCs w:val="1"/>
      <w:color w:val="ed7d31" w:themeColor="accent2"/>
      <w:spacing w:val="10"/>
      <w:sz w:val="16"/>
      <w:szCs w:val="16"/>
    </w:rPr>
  </w:style>
  <w:style w:type="character" w:styleId="TtuloChar" w:customStyle="1">
    <w:name w:val="Título Char"/>
    <w:basedOn w:val="Fontepargpadro"/>
    <w:link w:val="Ttulo"/>
    <w:uiPriority w:val="10"/>
    <w:rsid w:val="00135ADC"/>
    <w:rPr>
      <w:rFonts w:asciiTheme="majorHAnsi" w:cstheme="majorBidi" w:eastAsiaTheme="majorEastAsia" w:hAnsiTheme="majorHAnsi"/>
      <w:caps w:val="1"/>
      <w:spacing w:val="40"/>
      <w:sz w:val="76"/>
      <w:szCs w:val="76"/>
    </w:rPr>
  </w:style>
  <w:style w:type="paragraph" w:styleId="Subttulo">
    <w:name w:val="Subtitle"/>
    <w:basedOn w:val="Normal"/>
    <w:next w:val="Normal"/>
    <w:link w:val="SubttuloChar"/>
    <w:uiPriority w:val="11"/>
    <w:qFormat w:val="1"/>
    <w:pPr>
      <w:spacing w:after="240"/>
    </w:pPr>
    <w:rPr>
      <w:color w:val="000000"/>
      <w:sz w:val="24"/>
      <w:szCs w:val="24"/>
    </w:rPr>
  </w:style>
  <w:style w:type="character" w:styleId="SubttuloChar" w:customStyle="1">
    <w:name w:val="Subtítulo Char"/>
    <w:basedOn w:val="Fontepargpadro"/>
    <w:link w:val="Subttulo"/>
    <w:uiPriority w:val="11"/>
    <w:rsid w:val="00135ADC"/>
    <w:rPr>
      <w:color w:val="000000" w:themeColor="text1"/>
      <w:sz w:val="24"/>
      <w:szCs w:val="24"/>
    </w:rPr>
  </w:style>
  <w:style w:type="character" w:styleId="nfase">
    <w:name w:val="Emphasis"/>
    <w:basedOn w:val="Fontepargpadro"/>
    <w:uiPriority w:val="20"/>
    <w:qFormat w:val="1"/>
    <w:rsid w:val="00135ADC"/>
    <w:rPr>
      <w:rFonts w:asciiTheme="minorHAnsi" w:cstheme="minorBidi" w:eastAsiaTheme="minorEastAsia" w:hAnsiTheme="minorHAnsi"/>
      <w:i w:val="1"/>
      <w:iCs w:val="1"/>
      <w:color w:val="c45911" w:themeColor="accent2" w:themeShade="0000BF"/>
      <w:sz w:val="20"/>
      <w:szCs w:val="20"/>
    </w:rPr>
  </w:style>
  <w:style w:type="paragraph" w:styleId="SemEspaamento">
    <w:name w:val="No Spacing"/>
    <w:uiPriority w:val="1"/>
    <w:qFormat w:val="1"/>
    <w:rsid w:val="00135ADC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 w:val="1"/>
    <w:rsid w:val="00135ADC"/>
    <w:pPr>
      <w:spacing w:before="160"/>
      <w:ind w:left="720"/>
    </w:pPr>
    <w:rPr>
      <w:rFonts w:asciiTheme="majorHAnsi" w:cstheme="majorBidi" w:eastAsiaTheme="majorEastAsia" w:hAnsiTheme="majorHAnsi"/>
      <w:sz w:val="24"/>
      <w:szCs w:val="24"/>
    </w:rPr>
  </w:style>
  <w:style w:type="character" w:styleId="CitaoChar" w:customStyle="1">
    <w:name w:val="Citação Char"/>
    <w:basedOn w:val="Fontepargpadro"/>
    <w:link w:val="Citao"/>
    <w:uiPriority w:val="29"/>
    <w:rsid w:val="00135ADC"/>
    <w:rPr>
      <w:rFonts w:asciiTheme="majorHAnsi" w:cstheme="majorBidi" w:eastAsiaTheme="majorEastAsia" w:hAnsiTheme="majorHAnsi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135ADC"/>
    <w:pPr>
      <w:spacing w:after="240" w:before="100" w:beforeAutospacing="1"/>
      <w:ind w:left="936" w:right="936"/>
      <w:jc w:val="center"/>
    </w:pPr>
    <w:rPr>
      <w:rFonts w:asciiTheme="majorHAnsi" w:cstheme="majorBidi" w:eastAsiaTheme="majorEastAsia" w:hAnsiTheme="majorHAnsi"/>
      <w:caps w:val="1"/>
      <w:color w:val="c45911" w:themeColor="accent2" w:themeShade="0000BF"/>
      <w:spacing w:val="10"/>
      <w:sz w:val="28"/>
      <w:szCs w:val="28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135ADC"/>
    <w:rPr>
      <w:rFonts w:asciiTheme="majorHAnsi" w:cstheme="majorBidi" w:eastAsiaTheme="majorEastAsia" w:hAnsiTheme="majorHAnsi"/>
      <w:caps w:val="1"/>
      <w:color w:val="c45911" w:themeColor="accent2" w:themeShade="0000BF"/>
      <w:spacing w:val="10"/>
      <w:sz w:val="28"/>
      <w:szCs w:val="28"/>
    </w:rPr>
  </w:style>
  <w:style w:type="character" w:styleId="nfaseSutil">
    <w:name w:val="Subtle Emphasis"/>
    <w:basedOn w:val="Fontepargpadro"/>
    <w:uiPriority w:val="19"/>
    <w:qFormat w:val="1"/>
    <w:rsid w:val="00135ADC"/>
    <w:rPr>
      <w:i w:val="1"/>
      <w:iCs w:val="1"/>
      <w:color w:val="auto"/>
    </w:rPr>
  </w:style>
  <w:style w:type="character" w:styleId="nfaseIntensa">
    <w:name w:val="Intense Emphasis"/>
    <w:basedOn w:val="Fontepargpadro"/>
    <w:uiPriority w:val="21"/>
    <w:qFormat w:val="1"/>
    <w:rsid w:val="00135ADC"/>
    <w:rPr>
      <w:rFonts w:asciiTheme="minorHAnsi" w:cstheme="minorBidi" w:eastAsiaTheme="minorEastAsia" w:hAnsiTheme="minorHAnsi"/>
      <w:b w:val="1"/>
      <w:bCs w:val="1"/>
      <w:i w:val="1"/>
      <w:iCs w:val="1"/>
      <w:color w:val="c45911" w:themeColor="accent2" w:themeShade="0000BF"/>
      <w:spacing w:val="0"/>
      <w:w w:val="100"/>
      <w:position w:val="0"/>
      <w:sz w:val="20"/>
      <w:szCs w:val="20"/>
    </w:rPr>
  </w:style>
  <w:style w:type="character" w:styleId="RefernciaSutil">
    <w:name w:val="Subtle Reference"/>
    <w:basedOn w:val="Fontepargpadro"/>
    <w:uiPriority w:val="31"/>
    <w:qFormat w:val="1"/>
    <w:rsid w:val="00135ADC"/>
    <w:rPr>
      <w:rFonts w:asciiTheme="minorHAnsi" w:cstheme="minorBidi" w:eastAsiaTheme="minorEastAsia" w:hAnsiTheme="minorHAnsi"/>
      <w:caps w:val="0"/>
      <w:smallCaps w:val="1"/>
      <w:color w:val="auto"/>
      <w:spacing w:val="10"/>
      <w:w w:val="100"/>
      <w:sz w:val="20"/>
      <w:szCs w:val="20"/>
      <w:u w:color="7f7f7f" w:themeColor="text1" w:themeTint="000080" w:val="single"/>
    </w:rPr>
  </w:style>
  <w:style w:type="character" w:styleId="RefernciaIntensa">
    <w:name w:val="Intense Reference"/>
    <w:basedOn w:val="Fontepargpadro"/>
    <w:uiPriority w:val="32"/>
    <w:qFormat w:val="1"/>
    <w:rsid w:val="00135ADC"/>
    <w:rPr>
      <w:rFonts w:asciiTheme="minorHAnsi" w:cstheme="minorBidi" w:eastAsiaTheme="minorEastAsia" w:hAnsiTheme="minorHAnsi"/>
      <w:b w:val="1"/>
      <w:bCs w:val="1"/>
      <w:caps w:val="0"/>
      <w:smallCaps w:val="1"/>
      <w:color w:val="191919" w:themeColor="text1" w:themeTint="0000E6"/>
      <w:spacing w:val="10"/>
      <w:w w:val="100"/>
      <w:position w:val="0"/>
      <w:sz w:val="20"/>
      <w:szCs w:val="20"/>
      <w:u w:val="single"/>
    </w:rPr>
  </w:style>
  <w:style w:type="character" w:styleId="TtulodoLivro">
    <w:name w:val="Book Title"/>
    <w:basedOn w:val="Fontepargpadro"/>
    <w:uiPriority w:val="33"/>
    <w:qFormat w:val="1"/>
    <w:rsid w:val="00135ADC"/>
    <w:rPr>
      <w:rFonts w:asciiTheme="minorHAnsi" w:cstheme="minorBidi" w:eastAsiaTheme="minorEastAsia" w:hAnsiTheme="minorHAnsi"/>
      <w:b w:val="1"/>
      <w:bCs w:val="1"/>
      <w:i w:val="1"/>
      <w:iCs w:val="1"/>
      <w:caps w:val="0"/>
      <w:smallCaps w:val="0"/>
      <w:color w:val="auto"/>
      <w:spacing w:val="10"/>
      <w:w w:val="100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 w:val="1"/>
    <w:unhideWhenUsed w:val="1"/>
    <w:qFormat w:val="1"/>
    <w:rsid w:val="00135ADC"/>
    <w:pPr>
      <w:outlineLvl w:val="9"/>
    </w:pPr>
  </w:style>
  <w:style w:type="character" w:styleId="HiperlinkVisitado">
    <w:name w:val="FollowedHyperlink"/>
    <w:basedOn w:val="Fontepargpadro"/>
    <w:uiPriority w:val="99"/>
    <w:semiHidden w:val="1"/>
    <w:unhideWhenUsed w:val="1"/>
    <w:rsid w:val="000E5D33"/>
    <w:rPr>
      <w:color w:val="954f72" w:themeColor="followedHyperlink"/>
      <w:u w:val="single"/>
    </w:rPr>
  </w:style>
  <w:style w:type="character" w:styleId="Refdecomentrio">
    <w:name w:val="annotation reference"/>
    <w:uiPriority w:val="99"/>
    <w:semiHidden w:val="1"/>
    <w:unhideWhenUsed w:val="1"/>
    <w:rsid w:val="003373A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373AB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373AB"/>
    <w:rPr>
      <w:b w:val="1"/>
      <w:bCs w:val="1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373AB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link w:val="Textodecomentrio"/>
    <w:uiPriority w:val="99"/>
    <w:semiHidden w:val="1"/>
    <w:rsid w:val="003373A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13E4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13E4F"/>
    <w:rPr>
      <w:rFonts w:ascii="Tahoma" w:cs="Tahoma" w:hAnsi="Tahoma"/>
      <w:sz w:val="16"/>
      <w:szCs w:val="16"/>
    </w:rPr>
  </w:style>
  <w:style w:type="table" w:styleId="Tabelacomgrade">
    <w:name w:val="Table Grid"/>
    <w:basedOn w:val="Tabelanormal"/>
    <w:uiPriority w:val="59"/>
    <w:rsid w:val="00E464C2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rsid w:val="00D53AB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A86EEA"/>
    <w:pPr>
      <w:ind w:left="720"/>
      <w:contextualSpacing w:val="1"/>
    </w:p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1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2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3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4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5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6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7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8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9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F4380B"/>
    <w:rPr>
      <w:color w:val="605e5c"/>
      <w:shd w:color="auto" w:fill="e1dfdd" w:val="clear"/>
    </w:rPr>
  </w:style>
  <w:style w:type="paragraph" w:styleId="Reviso">
    <w:name w:val="Revision"/>
    <w:hidden w:val="1"/>
    <w:uiPriority w:val="99"/>
    <w:semiHidden w:val="1"/>
    <w:rsid w:val="00B25AF3"/>
    <w:pPr>
      <w:spacing w:after="0" w:line="240" w:lineRule="auto"/>
    </w:pPr>
  </w:style>
  <w:style w:type="paragraph" w:styleId="Subtitle">
    <w:name w:val="Subtitle"/>
    <w:basedOn w:val="Normal"/>
    <w:next w:val="Normal"/>
    <w:pPr>
      <w:spacing w:after="240" w:lineRule="auto"/>
    </w:pPr>
    <w:rPr>
      <w:color w:val="000000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jpg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fMRKk6uYngAe81yu7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4Q++9WN8W9EsPaMGys+z30/M+g==">CgMxLjAyCGguZ2pkZ3hzMghoLmdqZGd4czgAciExaVo3TGpsOWNDNVJMcEtoanE3TDNVVG1RUERCaVRvZTc=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2022-01-26T14:10:00Z</dcterms:created>
  <dc:creator>Camila Cunha</dc:creator>
</cp:coreProperties>
</file>